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C" w:rsidRPr="007B39FF" w:rsidRDefault="00FC37BC" w:rsidP="00053610">
      <w:pPr>
        <w:snapToGrid w:val="0"/>
        <w:jc w:val="center"/>
        <w:rPr>
          <w:rFonts w:eastAsia="標楷體"/>
          <w:color w:val="000000" w:themeColor="text1"/>
          <w:sz w:val="36"/>
        </w:rPr>
      </w:pPr>
      <w:bookmarkStart w:id="0" w:name="_GoBack"/>
      <w:bookmarkEnd w:id="0"/>
      <w:r w:rsidRPr="007B39FF">
        <w:rPr>
          <w:rFonts w:eastAsia="標楷體" w:hint="eastAsia"/>
          <w:color w:val="000000" w:themeColor="text1"/>
          <w:sz w:val="36"/>
          <w:szCs w:val="44"/>
        </w:rPr>
        <w:t xml:space="preserve"> </w:t>
      </w:r>
      <w:r w:rsidR="0004584C" w:rsidRPr="007B39FF">
        <w:rPr>
          <w:rFonts w:eastAsia="標楷體" w:hint="eastAsia"/>
          <w:color w:val="000000" w:themeColor="text1"/>
          <w:sz w:val="36"/>
          <w:szCs w:val="44"/>
        </w:rPr>
        <w:t>10</w:t>
      </w:r>
      <w:r w:rsidR="008573BC">
        <w:rPr>
          <w:rFonts w:eastAsia="標楷體"/>
          <w:color w:val="000000" w:themeColor="text1"/>
          <w:sz w:val="36"/>
          <w:szCs w:val="44"/>
        </w:rPr>
        <w:t>7</w:t>
      </w:r>
      <w:r w:rsidR="0004584C" w:rsidRPr="007B39FF">
        <w:rPr>
          <w:rFonts w:eastAsia="標楷體" w:hint="eastAsia"/>
          <w:color w:val="000000" w:themeColor="text1"/>
          <w:sz w:val="36"/>
          <w:szCs w:val="44"/>
        </w:rPr>
        <w:t>學年度學分</w:t>
      </w:r>
      <w:r w:rsidR="0004584C" w:rsidRPr="007B39FF">
        <w:rPr>
          <w:rFonts w:eastAsia="標楷體" w:hint="eastAsia"/>
          <w:color w:val="000000" w:themeColor="text1"/>
          <w:sz w:val="36"/>
        </w:rPr>
        <w:t>學程</w:t>
      </w:r>
    </w:p>
    <w:p w:rsidR="0004584C" w:rsidRPr="007B39FF" w:rsidRDefault="0004584C" w:rsidP="00053610">
      <w:pPr>
        <w:snapToGrid w:val="0"/>
        <w:jc w:val="center"/>
        <w:rPr>
          <w:rFonts w:eastAsia="標楷體"/>
          <w:color w:val="000000" w:themeColor="text1"/>
          <w:sz w:val="36"/>
        </w:rPr>
      </w:pPr>
      <w:r w:rsidRPr="007B39FF">
        <w:rPr>
          <w:rFonts w:eastAsia="標楷體" w:hint="eastAsia"/>
          <w:color w:val="000000" w:themeColor="text1"/>
          <w:sz w:val="36"/>
        </w:rPr>
        <w:t>課程規劃表</w:t>
      </w:r>
    </w:p>
    <w:p w:rsidR="0004584C" w:rsidRPr="007B39FF" w:rsidRDefault="00053610" w:rsidP="0004584C">
      <w:pPr>
        <w:spacing w:line="360" w:lineRule="auto"/>
        <w:rPr>
          <w:rFonts w:eastAsia="標楷體"/>
          <w:color w:val="000000" w:themeColor="text1"/>
          <w:sz w:val="28"/>
        </w:rPr>
      </w:pPr>
      <w:r w:rsidRPr="007B39FF">
        <w:rPr>
          <w:rFonts w:eastAsia="標楷體" w:hint="eastAsia"/>
          <w:color w:val="000000" w:themeColor="text1"/>
          <w:sz w:val="28"/>
        </w:rPr>
        <w:t>學分學程名稱</w:t>
      </w:r>
      <w:r w:rsidRPr="007B39FF">
        <w:rPr>
          <w:rFonts w:eastAsia="標楷體" w:hint="eastAsia"/>
          <w:color w:val="000000" w:themeColor="text1"/>
          <w:sz w:val="28"/>
        </w:rPr>
        <w:t>:</w:t>
      </w:r>
      <w:r w:rsidR="00FC37BC" w:rsidRPr="007B39FF">
        <w:rPr>
          <w:rFonts w:hint="eastAsia"/>
          <w:color w:val="000000" w:themeColor="text1"/>
        </w:rPr>
        <w:t xml:space="preserve"> </w:t>
      </w:r>
      <w:r w:rsidR="00FC37BC" w:rsidRPr="007B39FF">
        <w:rPr>
          <w:rFonts w:eastAsia="標楷體" w:hint="eastAsia"/>
          <w:color w:val="000000" w:themeColor="text1"/>
          <w:sz w:val="28"/>
        </w:rPr>
        <w:t>創新創業管理學分學程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746"/>
        <w:gridCol w:w="2753"/>
        <w:gridCol w:w="1155"/>
        <w:gridCol w:w="3398"/>
      </w:tblGrid>
      <w:tr w:rsidR="007B39FF" w:rsidRPr="007B39FF" w:rsidTr="002A7DC4">
        <w:trPr>
          <w:jc w:val="center"/>
        </w:trPr>
        <w:tc>
          <w:tcPr>
            <w:tcW w:w="407" w:type="pct"/>
            <w:shd w:val="clear" w:color="auto" w:fill="auto"/>
          </w:tcPr>
          <w:p w:rsidR="00C72938" w:rsidRPr="007B39FF" w:rsidRDefault="00C72938" w:rsidP="00006867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C72938" w:rsidRPr="007B39FF" w:rsidRDefault="00C72938" w:rsidP="00006867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開課學系</w:t>
            </w:r>
          </w:p>
        </w:tc>
        <w:tc>
          <w:tcPr>
            <w:tcW w:w="1397" w:type="pct"/>
            <w:shd w:val="clear" w:color="auto" w:fill="auto"/>
          </w:tcPr>
          <w:p w:rsidR="00C72938" w:rsidRPr="007B39FF" w:rsidRDefault="00C72938" w:rsidP="00006867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課程名稱</w:t>
            </w:r>
          </w:p>
        </w:tc>
        <w:tc>
          <w:tcPr>
            <w:tcW w:w="586" w:type="pct"/>
            <w:shd w:val="clear" w:color="auto" w:fill="auto"/>
          </w:tcPr>
          <w:p w:rsidR="00C72938" w:rsidRPr="007B39FF" w:rsidRDefault="00C72938" w:rsidP="00006867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學分數</w:t>
            </w:r>
          </w:p>
        </w:tc>
        <w:tc>
          <w:tcPr>
            <w:tcW w:w="1724" w:type="pct"/>
            <w:shd w:val="clear" w:color="auto" w:fill="auto"/>
          </w:tcPr>
          <w:p w:rsidR="00C72938" w:rsidRPr="007B39FF" w:rsidRDefault="00C72938" w:rsidP="00006867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備註</w:t>
            </w: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 w:val="restart"/>
            <w:shd w:val="clear" w:color="auto" w:fill="auto"/>
            <w:textDirection w:val="tbRlV"/>
            <w:vAlign w:val="center"/>
          </w:tcPr>
          <w:p w:rsidR="00FC37BC" w:rsidRPr="007B39FF" w:rsidRDefault="00FC37BC" w:rsidP="00FC37BC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核心課程</w:t>
            </w:r>
          </w:p>
        </w:tc>
        <w:tc>
          <w:tcPr>
            <w:tcW w:w="886" w:type="pct"/>
            <w:shd w:val="clear" w:color="auto" w:fill="auto"/>
          </w:tcPr>
          <w:p w:rsidR="00BA6791" w:rsidRPr="007B39FF" w:rsidRDefault="00BA6791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生物醫學暨環境生物學系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如何創業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lang w:bidi="hi-IN"/>
              </w:rPr>
            </w:pPr>
            <w:r w:rsidRPr="007B39FF">
              <w:rPr>
                <w:rFonts w:ascii="標楷體" w:eastAsia="標楷體" w:hAnsi="標楷體"/>
                <w:color w:val="000000" w:themeColor="text1"/>
                <w:kern w:val="0"/>
                <w:lang w:bidi="hi-IN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240" w:lineRule="exact"/>
              <w:jc w:val="both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BA6791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生物醫學暨環境生物學系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創業實務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通識中心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創意的發想與實踐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Pr="007B39FF" w:rsidRDefault="00BA6791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醫藥暨應用化學系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創新與知識管理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BA6791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醫藥暨應用化學系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科技管理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生物科技</w:t>
            </w:r>
            <w:r w:rsidR="00BA6791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生物科技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智慧財產權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 xml:space="preserve"> (專利檢索與分析)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生物科技</w:t>
            </w:r>
            <w:r w:rsidR="00BA6791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生物科技商品化與行銷實務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BA6791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社會創新與創業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trHeight w:val="716"/>
          <w:jc w:val="center"/>
        </w:trPr>
        <w:tc>
          <w:tcPr>
            <w:tcW w:w="407" w:type="pct"/>
            <w:vMerge/>
            <w:shd w:val="clear" w:color="auto" w:fill="auto"/>
            <w:vAlign w:val="center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以上課程為學程核心課程，至少需選讀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_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  <w:u w:val="single"/>
              </w:rPr>
              <w:t>_4__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</w:t>
            </w:r>
          </w:p>
        </w:tc>
      </w:tr>
      <w:tr w:rsidR="007B39FF" w:rsidRPr="007B39FF" w:rsidTr="002A7DC4">
        <w:trPr>
          <w:trHeight w:val="698"/>
          <w:jc w:val="center"/>
        </w:trPr>
        <w:tc>
          <w:tcPr>
            <w:tcW w:w="407" w:type="pct"/>
            <w:vMerge w:val="restart"/>
            <w:shd w:val="clear" w:color="auto" w:fill="auto"/>
            <w:vAlign w:val="center"/>
          </w:tcPr>
          <w:p w:rsidR="00FC37BC" w:rsidRPr="002241F8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選修課程</w:t>
            </w: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開課學系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課程名稱</w:t>
            </w:r>
          </w:p>
        </w:tc>
        <w:tc>
          <w:tcPr>
            <w:tcW w:w="586" w:type="pct"/>
            <w:shd w:val="clear" w:color="auto" w:fill="auto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學分數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FC37BC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備註</w:t>
            </w: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運動醫學系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運動及體適能器材設計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運動醫學系</w:t>
            </w:r>
          </w:p>
        </w:tc>
        <w:tc>
          <w:tcPr>
            <w:tcW w:w="1397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體適能評估與測試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運動醫學系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運動處方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運動醫學系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運動醫學實習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運動醫學系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運動醫學專題討論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FC37BC" w:rsidRPr="007B39FF" w:rsidRDefault="00FC37BC" w:rsidP="00FC37B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物理治療學系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物理治療與婦女健康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FC37BC" w:rsidRPr="007B39FF" w:rsidRDefault="00FC37BC" w:rsidP="00AD3F5D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FC37BC" w:rsidRPr="007B39FF" w:rsidRDefault="00FC37BC" w:rsidP="00AD3F5D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0130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D60130" w:rsidRPr="007B39FF" w:rsidRDefault="00D60130" w:rsidP="00D6013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D60130" w:rsidRPr="008573BC" w:rsidRDefault="00D60130" w:rsidP="00D60130">
            <w:r w:rsidRPr="008573BC">
              <w:rPr>
                <w:rFonts w:ascii="標楷體" w:eastAsia="標楷體" w:hAnsi="標楷體" w:hint="eastAsia"/>
              </w:rPr>
              <w:t>物理治療學系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D60130" w:rsidRPr="008573BC" w:rsidRDefault="00D60130" w:rsidP="00D601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日常機能再教育(含實習)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60130" w:rsidRPr="008573BC" w:rsidRDefault="00D60130" w:rsidP="00D60130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D60130" w:rsidRPr="007B39FF" w:rsidRDefault="00D60130" w:rsidP="00D601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0130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D60130" w:rsidRPr="007B39FF" w:rsidRDefault="00D60130" w:rsidP="00D6013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D60130" w:rsidRPr="008573BC" w:rsidRDefault="00D60130" w:rsidP="00D60130">
            <w:r w:rsidRPr="008573BC">
              <w:rPr>
                <w:rFonts w:ascii="標楷體" w:eastAsia="標楷體" w:hAnsi="標楷體" w:hint="eastAsia"/>
              </w:rPr>
              <w:t>物理治療學系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D60130" w:rsidRPr="008573BC" w:rsidRDefault="00D60130" w:rsidP="00D601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老人物理治療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60130" w:rsidRPr="008573BC" w:rsidRDefault="00D60130" w:rsidP="00D60130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D60130" w:rsidRPr="007B39FF" w:rsidRDefault="00D60130" w:rsidP="00D601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職能治療學系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活動分析與應用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trHeight w:val="510"/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職能治療學系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活動分析與應用實習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8573BC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呼吸治療學系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綜合臨床實習(</w:t>
            </w:r>
            <w:proofErr w:type="gramStart"/>
            <w:r w:rsidRPr="007B39F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B39F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BA6791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管理學概論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行動裝置網路軟體設計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顧客關係管理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資料探</w:t>
            </w:r>
            <w:proofErr w:type="gramStart"/>
            <w:r w:rsidRPr="007B39FF">
              <w:rPr>
                <w:rFonts w:ascii="標楷體" w:eastAsia="標楷體" w:hAnsi="標楷體"/>
                <w:color w:val="000000" w:themeColor="text1"/>
              </w:rPr>
              <w:t>勘</w:t>
            </w:r>
            <w:proofErr w:type="gramEnd"/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電子商務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電子病歷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醫療照護體系概論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互動多媒體設計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醫療品質管理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醫務管理暨醫療資訊專題</w:t>
            </w:r>
            <w:r w:rsidR="008573B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573BC">
              <w:rPr>
                <w:rFonts w:ascii="標楷體" w:eastAsia="標楷體" w:hAnsi="標楷體"/>
                <w:color w:val="000000" w:themeColor="text1"/>
              </w:rPr>
              <w:t>1)(2)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8573BC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6791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BA6791" w:rsidRPr="007B39FF" w:rsidRDefault="00BA6791" w:rsidP="00BA679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Default="00BA6791" w:rsidP="00BA6791">
            <w:r w:rsidRPr="0074501D">
              <w:rPr>
                <w:rFonts w:ascii="標楷體" w:eastAsia="標楷體" w:hAnsi="標楷體" w:hint="eastAsia"/>
                <w:color w:val="000000" w:themeColor="text1"/>
              </w:rPr>
              <w:t>醫務管理暨醫療資訊學系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醫務管理暨醫療資訊實習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A6791" w:rsidRPr="007B39FF" w:rsidRDefault="00BA6791" w:rsidP="00BA6791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BA6791" w:rsidRPr="007B39FF" w:rsidRDefault="00BA6791" w:rsidP="00BA6791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trHeight w:val="108"/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BA6791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醫學社會學與社會工作學系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方案設計與評估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BA6791" w:rsidRPr="007B39FF" w:rsidRDefault="00BA6791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醫學社會學與社會工作學系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醫學社會學與社會工作專題討論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護理學系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長期照顧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職能治療</w:t>
            </w:r>
            <w:r w:rsidR="00BA6791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健康促進與職能治療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0130" w:rsidRPr="007B39FF" w:rsidTr="002A7DC4">
        <w:trPr>
          <w:trHeight w:val="480"/>
          <w:jc w:val="center"/>
        </w:trPr>
        <w:tc>
          <w:tcPr>
            <w:tcW w:w="407" w:type="pct"/>
            <w:vMerge/>
            <w:shd w:val="clear" w:color="auto" w:fill="auto"/>
          </w:tcPr>
          <w:p w:rsidR="00D60130" w:rsidRPr="007B39FF" w:rsidRDefault="00D60130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D60130" w:rsidRPr="007B39FF" w:rsidRDefault="00D60130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職能治療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D60130" w:rsidRPr="007B39FF" w:rsidRDefault="00D60130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社區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職能治療實習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60130" w:rsidRPr="007B39FF" w:rsidRDefault="00D60130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D60130" w:rsidRPr="007B39FF" w:rsidRDefault="00D60130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理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社區衛生護理學實習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理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系</w:t>
            </w:r>
          </w:p>
        </w:tc>
        <w:tc>
          <w:tcPr>
            <w:tcW w:w="1397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失</w:t>
            </w:r>
            <w:proofErr w:type="gramStart"/>
            <w:r w:rsidRPr="007B39FF">
              <w:rPr>
                <w:rFonts w:ascii="標楷體" w:eastAsia="標楷體" w:hAnsi="標楷體"/>
                <w:color w:val="000000" w:themeColor="text1"/>
              </w:rPr>
              <w:t>智症照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proofErr w:type="gramEnd"/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BA6791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6791">
              <w:rPr>
                <w:rFonts w:ascii="標楷體" w:eastAsia="標楷體" w:hAnsi="標楷體" w:hint="eastAsia"/>
                <w:color w:val="000000" w:themeColor="text1"/>
              </w:rPr>
              <w:t>醫學社會學與社會工作學系</w:t>
            </w:r>
          </w:p>
        </w:tc>
        <w:tc>
          <w:tcPr>
            <w:tcW w:w="1397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老人社會工作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腔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衛</w:t>
            </w:r>
            <w:r w:rsidRPr="007B39FF">
              <w:rPr>
                <w:rFonts w:ascii="標楷體" w:eastAsia="標楷體" w:hAnsi="標楷體"/>
                <w:color w:val="000000" w:themeColor="text1"/>
              </w:rPr>
              <w:t>生學系</w:t>
            </w:r>
          </w:p>
        </w:tc>
        <w:tc>
          <w:tcPr>
            <w:tcW w:w="1397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社區及長照者口腔健康照護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4D30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F4D30" w:rsidRPr="007B39FF" w:rsidRDefault="002F4D30" w:rsidP="002F4D3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職能治療學系</w:t>
            </w:r>
          </w:p>
        </w:tc>
        <w:tc>
          <w:tcPr>
            <w:tcW w:w="1397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/>
              </w:rPr>
              <w:t>老人長期照護職能治療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F4D30" w:rsidRPr="008573BC" w:rsidRDefault="002F4D30" w:rsidP="002F4D30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2F4D30" w:rsidRPr="007B39FF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4D30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F4D30" w:rsidRPr="007B39FF" w:rsidRDefault="002F4D30" w:rsidP="002F4D3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職能治療學系</w:t>
            </w:r>
          </w:p>
        </w:tc>
        <w:tc>
          <w:tcPr>
            <w:tcW w:w="1397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輔具應用學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F4D30" w:rsidRPr="008573BC" w:rsidRDefault="002F4D30" w:rsidP="002F4D30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2F4D30" w:rsidRPr="007B39FF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4D30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F4D30" w:rsidRPr="007B39FF" w:rsidRDefault="002F4D30" w:rsidP="002F4D3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通識中心</w:t>
            </w:r>
          </w:p>
        </w:tc>
        <w:tc>
          <w:tcPr>
            <w:tcW w:w="1397" w:type="pct"/>
            <w:shd w:val="clear" w:color="auto" w:fill="auto"/>
          </w:tcPr>
          <w:p w:rsidR="002F4D30" w:rsidRPr="008573BC" w:rsidRDefault="002F4D30" w:rsidP="002F4D30">
            <w:pPr>
              <w:spacing w:beforeLines="50" w:before="180" w:after="100" w:afterAutospacing="1" w:line="0" w:lineRule="atLeast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營養與健康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F4D30" w:rsidRPr="008573BC" w:rsidRDefault="002F4D30" w:rsidP="002F4D30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8573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2F4D30" w:rsidRPr="007B39FF" w:rsidRDefault="002F4D30" w:rsidP="002F4D30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經濟學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行銷學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8573BC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品牌管理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8573BC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人力資源管理導論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8573BC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組織行為</w:t>
            </w:r>
            <w:r w:rsidRPr="007B39FF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消費者行為分析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會計學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8573BC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實用生活法律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各學系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/>
                <w:color w:val="000000" w:themeColor="text1"/>
              </w:rPr>
              <w:t>生物科技之智慧財產權保護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39FF" w:rsidRPr="007B39FF" w:rsidRDefault="007B39FF" w:rsidP="007B39FF">
            <w:pPr>
              <w:widowControl/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39F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B39FF" w:rsidRPr="007B39FF" w:rsidRDefault="007B39FF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trHeight w:val="670"/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7B39F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593" w:type="pct"/>
            <w:gridSpan w:val="4"/>
            <w:shd w:val="clear" w:color="auto" w:fill="auto"/>
          </w:tcPr>
          <w:p w:rsidR="002241F8" w:rsidRPr="007B39FF" w:rsidRDefault="002A7DC4" w:rsidP="007B39FF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中山大學選修課程</w:t>
            </w: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中山大學-企管系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創意思考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中山大學-資管系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服務科學與創新服務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中山大學-通識中心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資訊人與智慧財產權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中山大學-財管系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創業投資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中山大學-管理系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行銷管理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</w:t>
            </w:r>
            <w:proofErr w:type="gramStart"/>
            <w:r w:rsidRPr="00603973">
              <w:rPr>
                <w:rFonts w:ascii="標楷體" w:eastAsia="標楷體" w:hAnsi="標楷體" w:hint="eastAsia"/>
                <w:color w:val="000000" w:themeColor="text1"/>
              </w:rPr>
              <w:t>傳管碩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產業經濟學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</w:t>
            </w:r>
            <w:proofErr w:type="gramStart"/>
            <w:r w:rsidRPr="00603973">
              <w:rPr>
                <w:rFonts w:ascii="標楷體" w:eastAsia="標楷體" w:hAnsi="標楷體" w:hint="eastAsia"/>
                <w:color w:val="000000" w:themeColor="text1"/>
              </w:rPr>
              <w:t>企管碩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智慧財產權概論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</w:t>
            </w:r>
            <w:proofErr w:type="gramStart"/>
            <w:r w:rsidRPr="00603973">
              <w:rPr>
                <w:rFonts w:ascii="標楷體" w:eastAsia="標楷體" w:hAnsi="標楷體" w:hint="eastAsia"/>
                <w:color w:val="000000" w:themeColor="text1"/>
              </w:rPr>
              <w:t>企管碩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科技前</w:t>
            </w:r>
            <w:proofErr w:type="gramStart"/>
            <w:r w:rsidRPr="00603973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中山大學-財管系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創意與創新管理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中山大學-企管系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創業管理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</w:t>
            </w:r>
            <w:proofErr w:type="gramStart"/>
            <w:r w:rsidRPr="00603973">
              <w:rPr>
                <w:rFonts w:ascii="標楷體" w:eastAsia="標楷體" w:hAnsi="標楷體" w:hint="eastAsia"/>
                <w:color w:val="000000" w:themeColor="text1"/>
              </w:rPr>
              <w:t>資管碩</w:t>
            </w:r>
            <w:proofErr w:type="gramEnd"/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電子商務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中山大學-財管系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財務管理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41F8" w:rsidRPr="007B39FF" w:rsidTr="002A7DC4">
        <w:trPr>
          <w:trHeight w:val="85"/>
          <w:jc w:val="center"/>
        </w:trPr>
        <w:tc>
          <w:tcPr>
            <w:tcW w:w="407" w:type="pct"/>
            <w:vMerge/>
            <w:shd w:val="clear" w:color="auto" w:fill="auto"/>
          </w:tcPr>
          <w:p w:rsidR="002241F8" w:rsidRPr="007B39FF" w:rsidRDefault="002241F8" w:rsidP="002241F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8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中山大學-財管系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241F8" w:rsidRPr="00603973" w:rsidRDefault="002241F8" w:rsidP="00224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財務報表分析</w:t>
            </w:r>
          </w:p>
        </w:tc>
        <w:tc>
          <w:tcPr>
            <w:tcW w:w="586" w:type="pct"/>
            <w:shd w:val="clear" w:color="auto" w:fill="auto"/>
          </w:tcPr>
          <w:p w:rsidR="002241F8" w:rsidRPr="00603973" w:rsidRDefault="002241F8" w:rsidP="002241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2241F8" w:rsidRPr="007B39FF" w:rsidRDefault="002241F8" w:rsidP="002241F8">
            <w:pPr>
              <w:spacing w:beforeLines="50" w:before="180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39FF" w:rsidRPr="007B39FF" w:rsidTr="002A7DC4">
        <w:trPr>
          <w:trHeight w:val="814"/>
          <w:jc w:val="center"/>
        </w:trPr>
        <w:tc>
          <w:tcPr>
            <w:tcW w:w="407" w:type="pct"/>
            <w:vMerge/>
            <w:shd w:val="clear" w:color="auto" w:fill="auto"/>
          </w:tcPr>
          <w:p w:rsidR="007B39FF" w:rsidRPr="007B39FF" w:rsidRDefault="007B39FF" w:rsidP="007B39FF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7B39FF" w:rsidRPr="007B39FF" w:rsidRDefault="007B39FF" w:rsidP="0000751E">
            <w:pPr>
              <w:spacing w:before="240" w:line="240" w:lineRule="exact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以上課程為學程選修課程，至少需選讀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_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  <w:u w:val="single"/>
              </w:rPr>
              <w:t>_1</w:t>
            </w:r>
            <w:r w:rsidR="0000751E">
              <w:rPr>
                <w:rFonts w:eastAsia="標楷體" w:hint="eastAsia"/>
                <w:color w:val="000000" w:themeColor="text1"/>
                <w:sz w:val="28"/>
                <w:szCs w:val="44"/>
                <w:u w:val="single"/>
              </w:rPr>
              <w:t>6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  <w:u w:val="single"/>
              </w:rPr>
              <w:t>__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</w:t>
            </w:r>
          </w:p>
        </w:tc>
      </w:tr>
      <w:tr w:rsidR="007B39FF" w:rsidRPr="007B39FF" w:rsidTr="002A7DC4">
        <w:trPr>
          <w:trHeight w:val="175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B39FF" w:rsidRPr="007B39FF" w:rsidRDefault="007B39FF" w:rsidP="007B39FF">
            <w:pPr>
              <w:spacing w:before="240" w:line="2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修讀條件與重要注意事項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:</w:t>
            </w:r>
          </w:p>
          <w:p w:rsidR="007B39FF" w:rsidRPr="007B39FF" w:rsidRDefault="007B39FF" w:rsidP="007B39FF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所修讀課程中至少有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8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學分不屬於學生本系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(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所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)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、雙</w:t>
            </w:r>
            <w:proofErr w:type="gramStart"/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主修及輔系</w:t>
            </w:r>
            <w:proofErr w:type="gramEnd"/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所開設課程。</w:t>
            </w:r>
          </w:p>
          <w:p w:rsidR="007B39FF" w:rsidRPr="007B39FF" w:rsidRDefault="007B39FF" w:rsidP="00DB5401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創新創業學程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 xml:space="preserve"> 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必修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(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核心課程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)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4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 xml:space="preserve"> 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選修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16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</w:t>
            </w:r>
            <w:r w:rsidR="002F70CA">
              <w:rPr>
                <w:rFonts w:eastAsia="標楷體" w:hint="eastAsia"/>
                <w:color w:val="000000" w:themeColor="text1"/>
                <w:sz w:val="28"/>
                <w:szCs w:val="44"/>
              </w:rPr>
              <w:t xml:space="preserve"> 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滿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20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學分即可獲得學程證明書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。</w:t>
            </w:r>
          </w:p>
          <w:p w:rsidR="007B39FF" w:rsidRPr="007B39FF" w:rsidRDefault="007B39FF" w:rsidP="007B39FF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各系所課程可搭配實習實務課程、專題研究、長照機構場域實習等發掘問題需求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。</w:t>
            </w:r>
          </w:p>
          <w:p w:rsidR="007B39FF" w:rsidRPr="007B39FF" w:rsidRDefault="007B39FF" w:rsidP="007B39FF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搭配相關各主軸系所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T</w:t>
            </w:r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型人才工作坊活動，產學營運處商品化工作坊等活動培育智慧生活跨領域健康</w:t>
            </w:r>
            <w:proofErr w:type="gramStart"/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照護加值</w:t>
            </w:r>
            <w:proofErr w:type="gramEnd"/>
            <w:r w:rsidRPr="007B39FF">
              <w:rPr>
                <w:rFonts w:eastAsia="標楷體" w:hint="eastAsia"/>
                <w:color w:val="000000" w:themeColor="text1"/>
                <w:sz w:val="28"/>
                <w:szCs w:val="44"/>
              </w:rPr>
              <w:t>人才</w:t>
            </w:r>
            <w:r w:rsidR="00BD3B47">
              <w:rPr>
                <w:rFonts w:eastAsia="標楷體" w:hint="eastAsia"/>
                <w:color w:val="000000" w:themeColor="text1"/>
                <w:sz w:val="28"/>
                <w:szCs w:val="44"/>
              </w:rPr>
              <w:t>。</w:t>
            </w:r>
          </w:p>
        </w:tc>
      </w:tr>
    </w:tbl>
    <w:p w:rsidR="004A510C" w:rsidRPr="007B39FF" w:rsidRDefault="00656BFC">
      <w:pPr>
        <w:rPr>
          <w:rFonts w:ascii="標楷體" w:eastAsia="標楷體" w:hAnsi="標楷體"/>
          <w:b/>
          <w:color w:val="000000" w:themeColor="text1"/>
        </w:rPr>
      </w:pPr>
      <w:r w:rsidRPr="007B39FF">
        <w:rPr>
          <w:rFonts w:ascii="標楷體" w:eastAsia="標楷體" w:hAnsi="標楷體" w:hint="eastAsia"/>
          <w:b/>
          <w:color w:val="000000" w:themeColor="text1"/>
        </w:rPr>
        <w:t>學程負責人:               主負責學系主任:</w:t>
      </w:r>
    </w:p>
    <w:p w:rsidR="00C02803" w:rsidRPr="007B39FF" w:rsidRDefault="00C02803" w:rsidP="00CE5AAE">
      <w:pPr>
        <w:widowControl/>
        <w:spacing w:beforeLines="100" w:before="360"/>
        <w:rPr>
          <w:rFonts w:ascii="標楷體" w:eastAsia="標楷體" w:hAnsi="標楷體"/>
          <w:color w:val="000000" w:themeColor="text1"/>
        </w:rPr>
      </w:pPr>
      <w:r w:rsidRPr="007B39FF">
        <w:rPr>
          <w:rFonts w:ascii="標楷體" w:eastAsia="標楷體" w:hAnsi="標楷體" w:hint="eastAsia"/>
          <w:color w:val="000000" w:themeColor="text1"/>
        </w:rPr>
        <w:t>備註:</w:t>
      </w:r>
      <w:r w:rsidRPr="007B39FF">
        <w:rPr>
          <w:rFonts w:ascii="標楷體" w:eastAsia="標楷體" w:hAnsi="標楷體" w:hint="eastAsia"/>
          <w:b/>
          <w:color w:val="000000" w:themeColor="text1"/>
          <w:u w:val="single"/>
        </w:rPr>
        <w:t>審議行政程序: 系(所)課程委員會、院課程委員會</w:t>
      </w:r>
      <w:r w:rsidRPr="007B39FF">
        <w:rPr>
          <w:rFonts w:ascii="標楷體" w:eastAsia="標楷體" w:hAnsi="標楷體" w:hint="eastAsia"/>
          <w:color w:val="000000" w:themeColor="text1"/>
          <w:u w:val="single"/>
        </w:rPr>
        <w:t>審議通過</w:t>
      </w:r>
      <w:proofErr w:type="gramStart"/>
      <w:r w:rsidRPr="007B39FF">
        <w:rPr>
          <w:rFonts w:ascii="標楷體" w:eastAsia="標楷體" w:hAnsi="標楷體" w:hint="eastAsia"/>
          <w:color w:val="000000" w:themeColor="text1"/>
          <w:u w:val="single"/>
        </w:rPr>
        <w:t>後提學程</w:t>
      </w:r>
      <w:proofErr w:type="gramEnd"/>
      <w:r w:rsidRPr="007B39FF">
        <w:rPr>
          <w:rFonts w:ascii="標楷體" w:eastAsia="標楷體" w:hAnsi="標楷體" w:hint="eastAsia"/>
          <w:color w:val="000000" w:themeColor="text1"/>
          <w:u w:val="single"/>
        </w:rPr>
        <w:t>發展委員會審議</w:t>
      </w:r>
    </w:p>
    <w:sectPr w:rsidR="00C02803" w:rsidRPr="007B39FF" w:rsidSect="00FC37BC">
      <w:pgSz w:w="11907" w:h="16839" w:code="9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F0" w:rsidRDefault="007471F0" w:rsidP="00F03E8D">
      <w:r>
        <w:separator/>
      </w:r>
    </w:p>
  </w:endnote>
  <w:endnote w:type="continuationSeparator" w:id="0">
    <w:p w:rsidR="007471F0" w:rsidRDefault="007471F0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F0" w:rsidRDefault="007471F0" w:rsidP="00F03E8D">
      <w:r>
        <w:separator/>
      </w:r>
    </w:p>
  </w:footnote>
  <w:footnote w:type="continuationSeparator" w:id="0">
    <w:p w:rsidR="007471F0" w:rsidRDefault="007471F0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C"/>
    <w:rsid w:val="00006C20"/>
    <w:rsid w:val="0000751E"/>
    <w:rsid w:val="00031264"/>
    <w:rsid w:val="0004584C"/>
    <w:rsid w:val="00053610"/>
    <w:rsid w:val="0007796C"/>
    <w:rsid w:val="00146860"/>
    <w:rsid w:val="002241F8"/>
    <w:rsid w:val="00240FAA"/>
    <w:rsid w:val="00280848"/>
    <w:rsid w:val="00284515"/>
    <w:rsid w:val="002A7DC4"/>
    <w:rsid w:val="002F4D30"/>
    <w:rsid w:val="002F70CA"/>
    <w:rsid w:val="00337958"/>
    <w:rsid w:val="003A5044"/>
    <w:rsid w:val="003F7321"/>
    <w:rsid w:val="00420DAE"/>
    <w:rsid w:val="0043180D"/>
    <w:rsid w:val="004A510C"/>
    <w:rsid w:val="00501ADE"/>
    <w:rsid w:val="00550E53"/>
    <w:rsid w:val="00656BFC"/>
    <w:rsid w:val="00656D95"/>
    <w:rsid w:val="007249F2"/>
    <w:rsid w:val="007471F0"/>
    <w:rsid w:val="007603AF"/>
    <w:rsid w:val="00776E06"/>
    <w:rsid w:val="00785CC2"/>
    <w:rsid w:val="007B39FF"/>
    <w:rsid w:val="008573BC"/>
    <w:rsid w:val="00877026"/>
    <w:rsid w:val="00915A19"/>
    <w:rsid w:val="00985A3F"/>
    <w:rsid w:val="00A22355"/>
    <w:rsid w:val="00A35BAD"/>
    <w:rsid w:val="00A8641E"/>
    <w:rsid w:val="00A96D50"/>
    <w:rsid w:val="00AD0DDC"/>
    <w:rsid w:val="00AD3F5D"/>
    <w:rsid w:val="00BA6791"/>
    <w:rsid w:val="00BD3B47"/>
    <w:rsid w:val="00C02803"/>
    <w:rsid w:val="00C22BB2"/>
    <w:rsid w:val="00C72938"/>
    <w:rsid w:val="00CE2495"/>
    <w:rsid w:val="00CE4BDB"/>
    <w:rsid w:val="00CE5AAE"/>
    <w:rsid w:val="00D1615D"/>
    <w:rsid w:val="00D36CF5"/>
    <w:rsid w:val="00D60130"/>
    <w:rsid w:val="00D94167"/>
    <w:rsid w:val="00D96D63"/>
    <w:rsid w:val="00DB5401"/>
    <w:rsid w:val="00E16883"/>
    <w:rsid w:val="00E45E62"/>
    <w:rsid w:val="00F03E8D"/>
    <w:rsid w:val="00F62A29"/>
    <w:rsid w:val="00FC37B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2016-03-04T09:26:00Z</cp:lastPrinted>
  <dcterms:created xsi:type="dcterms:W3CDTF">2018-05-28T00:22:00Z</dcterms:created>
  <dcterms:modified xsi:type="dcterms:W3CDTF">2018-05-28T00:22:00Z</dcterms:modified>
</cp:coreProperties>
</file>